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…………………………………………………………………………………………………………………………….…………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placeholder>
        <w:docPart w:val="4AAB6E4352404F82BB9C22A83450FF5D"/>
      </w:placeholder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LibreOffice/7.5.1.2$Windows_X86_64 LibreOffice_project/fcbaee479e84c6cd81291587d2ee68cba099e129</Application>
  <AppVersion>15.0000</AppVersion>
  <Pages>5</Pages>
  <Words>1100</Words>
  <Characters>8052</Characters>
  <CharactersWithSpaces>9063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2024-11-08T09:15:11Z</cp:lastPrinted>
  <dcterms:modified xsi:type="dcterms:W3CDTF">2024-11-08T09:41:13Z</dcterms:modified>
  <cp:revision>15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